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A3935" w14:textId="77777777" w:rsidR="006C311E" w:rsidRDefault="009500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СПРАВКА-ОБОСНОВАНИЕ </w:t>
      </w:r>
    </w:p>
    <w:p w14:paraId="74C198E4" w14:textId="77777777" w:rsidR="006C311E" w:rsidRDefault="009500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 Закона Кыргызской Республики «О статусе судебных исполнителей и об исполнительном производстве»</w:t>
      </w:r>
    </w:p>
    <w:p w14:paraId="42135FBC" w14:textId="77777777" w:rsidR="006C311E" w:rsidRDefault="006C311E">
      <w:pPr>
        <w:jc w:val="left"/>
        <w:rPr>
          <w:b/>
          <w:sz w:val="28"/>
          <w:szCs w:val="28"/>
        </w:rPr>
      </w:pPr>
    </w:p>
    <w:p w14:paraId="7C4C8157" w14:textId="77777777" w:rsidR="006C311E" w:rsidRDefault="0095003C">
      <w:pPr>
        <w:ind w:firstLine="709"/>
        <w:rPr>
          <w:sz w:val="28"/>
          <w:szCs w:val="28"/>
        </w:rPr>
      </w:pPr>
      <w:r>
        <w:rPr>
          <w:sz w:val="28"/>
          <w:szCs w:val="28"/>
        </w:rPr>
        <w:t>Целью и задачей законопроекта является внедрение в правовую систему института частных судебных исполнителей, определение их правового статуса и порядка их деятельности.</w:t>
      </w:r>
    </w:p>
    <w:p w14:paraId="1E0AE2D7" w14:textId="77777777" w:rsidR="006C311E" w:rsidRDefault="0095003C">
      <w:pPr>
        <w:ind w:firstLine="709"/>
        <w:rPr>
          <w:sz w:val="28"/>
          <w:szCs w:val="28"/>
        </w:rPr>
      </w:pPr>
      <w:r>
        <w:rPr>
          <w:sz w:val="28"/>
          <w:szCs w:val="28"/>
        </w:rPr>
        <w:t>На сегодняшний день уполномоченным государственным органом, обеспечивающим исполнение с</w:t>
      </w:r>
      <w:r>
        <w:rPr>
          <w:sz w:val="28"/>
          <w:szCs w:val="28"/>
        </w:rPr>
        <w:t>удебных решений и иных исполнительных документов, является Судебный департамент при Верховном суде Кыргызской Республики (далее – Судебный департамент).</w:t>
      </w:r>
    </w:p>
    <w:p w14:paraId="22AD0BE1" w14:textId="77777777" w:rsidR="006C311E" w:rsidRDefault="0095003C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За 2021 год в подразделения службы судебных исполнителей поступило 210059 исполнительных документов на </w:t>
      </w:r>
      <w:r>
        <w:rPr>
          <w:sz w:val="28"/>
          <w:szCs w:val="28"/>
        </w:rPr>
        <w:t>сумму 14879983115 сомов (</w:t>
      </w:r>
      <w:r>
        <w:rPr>
          <w:i/>
          <w:sz w:val="28"/>
          <w:szCs w:val="28"/>
        </w:rPr>
        <w:t>в т.ч. повторно - 8547 исполнительных листов на сумму 6271786690 сомов</w:t>
      </w:r>
      <w:r>
        <w:rPr>
          <w:sz w:val="28"/>
          <w:szCs w:val="28"/>
        </w:rPr>
        <w:t xml:space="preserve">), в остатке за прошлый отчетный период находилось 47060 исполнительных листов на сумму 17602901508 сомов, отказано в принятии 9202 исполнительных документов на </w:t>
      </w:r>
      <w:r>
        <w:rPr>
          <w:sz w:val="28"/>
          <w:szCs w:val="28"/>
        </w:rPr>
        <w:t xml:space="preserve">сумму 46789788 сомов. </w:t>
      </w:r>
    </w:p>
    <w:p w14:paraId="63AD6BEF" w14:textId="77777777" w:rsidR="006C311E" w:rsidRDefault="0095003C">
      <w:pPr>
        <w:ind w:firstLine="709"/>
        <w:rPr>
          <w:sz w:val="28"/>
          <w:szCs w:val="28"/>
        </w:rPr>
      </w:pPr>
      <w:r>
        <w:rPr>
          <w:sz w:val="28"/>
          <w:szCs w:val="28"/>
        </w:rPr>
        <w:t>Вышеуказанные статистические данные показывают, что за 2021 год в производстве 380 судебных исполнителей Судебного департамента всего находилось 247917 исполнительных листов на сумму 32436094835 сомов, из которых окончено 176013 прои</w:t>
      </w:r>
      <w:r>
        <w:rPr>
          <w:sz w:val="28"/>
          <w:szCs w:val="28"/>
        </w:rPr>
        <w:t>зводств (или 71%) на сумму 19780479247 сомов, в т.ч. возвращено 83968 исполнительных листов (или 33,8%) на сумму 6733964377 сомов, фактически исполнено 73640 исполнительных листов (или 29,7%) на сумму 284674108 сомов, направлено в организации по месту рабо</w:t>
      </w:r>
      <w:r>
        <w:rPr>
          <w:sz w:val="28"/>
          <w:szCs w:val="28"/>
        </w:rPr>
        <w:t>ты должников или в финансовые учреждения 2287 исполнительных листов (или 0,9%) на сумму 5670439564 сомов, направлено в другие подразделения судебных исполнителей 14226 исполнительных листов (или 5,74%) на сумму 6769078342 сомов, прекращено  1982 исполнител</w:t>
      </w:r>
      <w:r>
        <w:rPr>
          <w:sz w:val="28"/>
          <w:szCs w:val="28"/>
        </w:rPr>
        <w:t>ьных листа (или 0,76%) на сумму 322322856 сомов.</w:t>
      </w:r>
    </w:p>
    <w:p w14:paraId="0F12AEAE" w14:textId="77777777" w:rsidR="006C311E" w:rsidRDefault="0095003C">
      <w:pPr>
        <w:ind w:firstLine="709"/>
        <w:rPr>
          <w:sz w:val="28"/>
          <w:szCs w:val="28"/>
        </w:rPr>
      </w:pPr>
      <w:r>
        <w:rPr>
          <w:sz w:val="28"/>
          <w:szCs w:val="28"/>
        </w:rPr>
        <w:t>Таким образом, нагрузка на 1 судебного исполнителя в 2021 году составляла 652 производства в год или 54 производства в месяц. Тогда как по результатам функционального анализа ежемесячная нагрузка судебного и</w:t>
      </w:r>
      <w:r>
        <w:rPr>
          <w:sz w:val="28"/>
          <w:szCs w:val="28"/>
        </w:rPr>
        <w:t>сполнителя должна составлять не более 19 исполнительных документов в месяц. При таких обстоятельствах штатная численность судебных исполнителей Судебного департамента при Верховном суде Кыргызской Республики не позволяет обеспечивать эффективное и качестве</w:t>
      </w:r>
      <w:r>
        <w:rPr>
          <w:sz w:val="28"/>
          <w:szCs w:val="28"/>
        </w:rPr>
        <w:t>нное исполнение судебных решений и иных исполнительных документов.</w:t>
      </w:r>
    </w:p>
    <w:p w14:paraId="5AC4108B" w14:textId="77777777" w:rsidR="006C311E" w:rsidRDefault="0095003C">
      <w:pPr>
        <w:ind w:firstLine="709"/>
        <w:rPr>
          <w:sz w:val="28"/>
          <w:szCs w:val="28"/>
        </w:rPr>
      </w:pPr>
      <w:r>
        <w:rPr>
          <w:sz w:val="28"/>
          <w:szCs w:val="28"/>
        </w:rPr>
        <w:t>В этой связи, в целях повышения эффективности деятельности по исполнению судебных решений и иных исполнительных документов предлагается наряду с должностями лицами государственной системы и</w:t>
      </w:r>
      <w:r>
        <w:rPr>
          <w:sz w:val="28"/>
          <w:szCs w:val="28"/>
        </w:rPr>
        <w:t xml:space="preserve">сполнительного производства внедрить в правовую практику </w:t>
      </w:r>
      <w:r>
        <w:rPr>
          <w:sz w:val="28"/>
          <w:szCs w:val="28"/>
        </w:rPr>
        <w:lastRenderedPageBreak/>
        <w:t>институт частных судебных исполнителей, определить правовой статус и порядок их деятельности.</w:t>
      </w:r>
    </w:p>
    <w:p w14:paraId="2EBB7B57" w14:textId="77777777" w:rsidR="006C311E" w:rsidRDefault="0095003C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Представленным законопроектом предлагается определить, что частные судебные исполнители осуществляет свою</w:t>
      </w:r>
      <w:r>
        <w:rPr>
          <w:sz w:val="28"/>
          <w:szCs w:val="28"/>
        </w:rPr>
        <w:t xml:space="preserve"> деятельность на территории соответствующей административно-территориальной единицы (исполнительного округа) на основании свидетельства, выдаваемого уполномоченным государственным органом по результатам квалификационного экзамена. При этом, Кабинет Министр</w:t>
      </w:r>
      <w:r>
        <w:rPr>
          <w:sz w:val="28"/>
          <w:szCs w:val="28"/>
        </w:rPr>
        <w:t>ов устанавливает предельное количество частных судебных исполнителей, уполномоченных осуществлять свою деятельность на этой территории.</w:t>
      </w:r>
    </w:p>
    <w:p w14:paraId="69778016" w14:textId="77777777" w:rsidR="006C311E" w:rsidRDefault="0095003C">
      <w:pPr>
        <w:ind w:firstLine="709"/>
        <w:rPr>
          <w:sz w:val="28"/>
          <w:szCs w:val="28"/>
        </w:rPr>
      </w:pPr>
      <w:r>
        <w:rPr>
          <w:sz w:val="28"/>
          <w:szCs w:val="28"/>
        </w:rPr>
        <w:t>Ниже представляем сравнительный анализ альтернативных вариантов решения проблемы:</w:t>
      </w:r>
    </w:p>
    <w:p w14:paraId="2879B0C6" w14:textId="77777777" w:rsidR="006C311E" w:rsidRDefault="006C311E">
      <w:pPr>
        <w:ind w:firstLine="567"/>
        <w:rPr>
          <w:sz w:val="28"/>
          <w:szCs w:val="28"/>
        </w:rPr>
      </w:pPr>
    </w:p>
    <w:tbl>
      <w:tblPr>
        <w:tblStyle w:val="ae"/>
        <w:tblW w:w="850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43"/>
        <w:gridCol w:w="3260"/>
        <w:gridCol w:w="3402"/>
      </w:tblGrid>
      <w:tr w:rsidR="006C311E" w14:paraId="36309E5D" w14:textId="77777777">
        <w:tc>
          <w:tcPr>
            <w:tcW w:w="1843" w:type="dxa"/>
            <w:vMerge w:val="restart"/>
          </w:tcPr>
          <w:p w14:paraId="5F7F5B2B" w14:textId="77777777" w:rsidR="006C311E" w:rsidRDefault="006C311E">
            <w:pPr>
              <w:ind w:firstLine="567"/>
              <w:jc w:val="left"/>
              <w:rPr>
                <w:sz w:val="28"/>
                <w:szCs w:val="28"/>
              </w:rPr>
            </w:pPr>
          </w:p>
        </w:tc>
        <w:tc>
          <w:tcPr>
            <w:tcW w:w="6662" w:type="dxa"/>
            <w:gridSpan w:val="2"/>
          </w:tcPr>
          <w:p w14:paraId="33D96626" w14:textId="77777777" w:rsidR="006C311E" w:rsidRDefault="0095003C">
            <w:pPr>
              <w:ind w:firstLine="56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Варианты</w:t>
            </w:r>
          </w:p>
        </w:tc>
      </w:tr>
      <w:tr w:rsidR="006C311E" w14:paraId="5B5A70BD" w14:textId="77777777">
        <w:tc>
          <w:tcPr>
            <w:tcW w:w="1843" w:type="dxa"/>
            <w:vMerge/>
          </w:tcPr>
          <w:p w14:paraId="02383878" w14:textId="77777777" w:rsidR="006C311E" w:rsidRDefault="006C31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14:paraId="41DB0F89" w14:textId="77777777" w:rsidR="006C311E" w:rsidRDefault="009500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(Вариант 1)</w:t>
            </w:r>
          </w:p>
          <w:p w14:paraId="0BEFE09A" w14:textId="77777777" w:rsidR="006C311E" w:rsidRDefault="009500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Оставить без изменения </w:t>
            </w:r>
          </w:p>
          <w:p w14:paraId="0C8838A8" w14:textId="77777777" w:rsidR="006C311E" w:rsidRDefault="006C31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14:paraId="60F24E29" w14:textId="77777777" w:rsidR="006C311E" w:rsidRDefault="009500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(Вариант 2)</w:t>
            </w:r>
          </w:p>
          <w:p w14:paraId="4AAD5F86" w14:textId="77777777" w:rsidR="006C311E" w:rsidRDefault="009500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Создать институт частных судебных исполнителей с предоставлением полномочий, аналогичных у судебных исполнителей Судебного департамента</w:t>
            </w:r>
          </w:p>
          <w:p w14:paraId="78366F58" w14:textId="77777777" w:rsidR="006C311E" w:rsidRDefault="006C311E">
            <w:pPr>
              <w:jc w:val="center"/>
              <w:rPr>
                <w:sz w:val="28"/>
                <w:szCs w:val="28"/>
              </w:rPr>
            </w:pPr>
          </w:p>
        </w:tc>
      </w:tr>
      <w:tr w:rsidR="006C311E" w14:paraId="30C04120" w14:textId="77777777">
        <w:tc>
          <w:tcPr>
            <w:tcW w:w="1843" w:type="dxa"/>
          </w:tcPr>
          <w:p w14:paraId="37A3E08C" w14:textId="77777777" w:rsidR="006C311E" w:rsidRDefault="0095003C">
            <w:pPr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Преимущества</w:t>
            </w:r>
          </w:p>
        </w:tc>
        <w:tc>
          <w:tcPr>
            <w:tcW w:w="3260" w:type="dxa"/>
          </w:tcPr>
          <w:p w14:paraId="24EA2531" w14:textId="77777777" w:rsidR="006C311E" w:rsidRDefault="0095003C">
            <w:pPr>
              <w:ind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  <w:tc>
          <w:tcPr>
            <w:tcW w:w="3402" w:type="dxa"/>
          </w:tcPr>
          <w:p w14:paraId="45A18378" w14:textId="77777777" w:rsidR="006C311E" w:rsidRDefault="009500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Создаст возможность для разгрузки судебных исполнителей Судебного департамента, повысится эффективность деятельности по исполнению судебных решений и иных исполнительных документов</w:t>
            </w:r>
          </w:p>
          <w:p w14:paraId="603D750C" w14:textId="77777777" w:rsidR="006C311E" w:rsidRDefault="006C311E">
            <w:pPr>
              <w:jc w:val="center"/>
              <w:rPr>
                <w:sz w:val="28"/>
                <w:szCs w:val="28"/>
              </w:rPr>
            </w:pPr>
          </w:p>
        </w:tc>
      </w:tr>
      <w:tr w:rsidR="006C311E" w14:paraId="0DEA20DA" w14:textId="77777777">
        <w:tc>
          <w:tcPr>
            <w:tcW w:w="1843" w:type="dxa"/>
          </w:tcPr>
          <w:p w14:paraId="5A8F3473" w14:textId="77777777" w:rsidR="006C311E" w:rsidRDefault="0095003C">
            <w:pPr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Недостатки</w:t>
            </w:r>
          </w:p>
        </w:tc>
        <w:tc>
          <w:tcPr>
            <w:tcW w:w="3260" w:type="dxa"/>
          </w:tcPr>
          <w:p w14:paraId="42DC1916" w14:textId="77777777" w:rsidR="006C311E" w:rsidRDefault="009500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Низкая эффективность и качество исполнения судебных решений и </w:t>
            </w:r>
            <w:r>
              <w:rPr>
                <w:sz w:val="28"/>
                <w:szCs w:val="28"/>
              </w:rPr>
              <w:t>исполнительных документов</w:t>
            </w:r>
          </w:p>
          <w:p w14:paraId="10BB3DC2" w14:textId="77777777" w:rsidR="006C311E" w:rsidRDefault="006C31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14:paraId="7A3CEA01" w14:textId="77777777" w:rsidR="006C311E" w:rsidRDefault="0095003C">
            <w:pPr>
              <w:ind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</w:tbl>
    <w:p w14:paraId="69FB01AA" w14:textId="77777777" w:rsidR="006C311E" w:rsidRDefault="006C311E">
      <w:pPr>
        <w:ind w:firstLine="567"/>
        <w:rPr>
          <w:sz w:val="28"/>
          <w:szCs w:val="28"/>
        </w:rPr>
      </w:pPr>
    </w:p>
    <w:p w14:paraId="5D7BD8FB" w14:textId="77777777" w:rsidR="006C311E" w:rsidRDefault="0095003C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Сообщаем, что по результатам проведенного анализа норм национального и международного права установлено, что нормы законопроекта не противоречат другим нормативным правовым актам и актам международного законодательс</w:t>
      </w:r>
      <w:r>
        <w:rPr>
          <w:sz w:val="28"/>
          <w:szCs w:val="28"/>
        </w:rPr>
        <w:t>тва.</w:t>
      </w:r>
    </w:p>
    <w:p w14:paraId="7340098B" w14:textId="77777777" w:rsidR="006C311E" w:rsidRDefault="0095003C">
      <w:pPr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Учитывая, что законопроект направлен на регулирование предпринимательской деятельности, проведен анализ регулятивного воздействия.</w:t>
      </w:r>
    </w:p>
    <w:p w14:paraId="7ABB1D11" w14:textId="77777777" w:rsidR="006C311E" w:rsidRDefault="0095003C">
      <w:pPr>
        <w:ind w:firstLine="709"/>
        <w:rPr>
          <w:sz w:val="28"/>
          <w:szCs w:val="28"/>
        </w:rPr>
      </w:pPr>
      <w:r>
        <w:rPr>
          <w:sz w:val="28"/>
          <w:szCs w:val="28"/>
        </w:rPr>
        <w:t>В соответствии со статьей 22 Закона Кыргызской Республики «О нормативных правовых актах Кыргызской Республики» “____” __</w:t>
      </w:r>
      <w:r>
        <w:rPr>
          <w:sz w:val="28"/>
          <w:szCs w:val="28"/>
        </w:rPr>
        <w:t>_______ 2022 года законопроект размещен на официальном сайте нормотворческого органа для проведения процедуры общественного обсуждения.</w:t>
      </w:r>
    </w:p>
    <w:p w14:paraId="775713E0" w14:textId="77777777" w:rsidR="006C311E" w:rsidRDefault="0095003C">
      <w:pPr>
        <w:ind w:firstLine="709"/>
        <w:rPr>
          <w:sz w:val="28"/>
          <w:szCs w:val="28"/>
        </w:rPr>
      </w:pPr>
      <w:r>
        <w:rPr>
          <w:sz w:val="28"/>
          <w:szCs w:val="28"/>
        </w:rPr>
        <w:t>Одновременно отмечаем, что принятие законопроекта негативных правовых, правозащитных, экономических, социальных, коррупц</w:t>
      </w:r>
      <w:r>
        <w:rPr>
          <w:sz w:val="28"/>
          <w:szCs w:val="28"/>
        </w:rPr>
        <w:t>ионных, гендерных и экологических последствий за собой не повлечет.</w:t>
      </w:r>
    </w:p>
    <w:p w14:paraId="62A27E92" w14:textId="77777777" w:rsidR="006C311E" w:rsidRDefault="0095003C">
      <w:pPr>
        <w:ind w:firstLine="709"/>
        <w:rPr>
          <w:sz w:val="28"/>
          <w:szCs w:val="28"/>
        </w:rPr>
      </w:pPr>
      <w:r>
        <w:rPr>
          <w:sz w:val="28"/>
          <w:szCs w:val="28"/>
        </w:rPr>
        <w:t>Кроме этого, принятие законопроекта не потребует финансирования из республиканского бюджета.</w:t>
      </w:r>
    </w:p>
    <w:p w14:paraId="0EDE8D2B" w14:textId="77777777" w:rsidR="006C311E" w:rsidRDefault="006C311E">
      <w:pPr>
        <w:ind w:firstLine="567"/>
        <w:rPr>
          <w:sz w:val="28"/>
          <w:szCs w:val="28"/>
        </w:rPr>
      </w:pPr>
    </w:p>
    <w:p w14:paraId="0ADA7434" w14:textId="77777777" w:rsidR="006C311E" w:rsidRDefault="006C311E">
      <w:pPr>
        <w:ind w:firstLine="567"/>
        <w:rPr>
          <w:sz w:val="28"/>
          <w:szCs w:val="28"/>
        </w:rPr>
      </w:pPr>
    </w:p>
    <w:p w14:paraId="79A8B099" w14:textId="77777777" w:rsidR="006C311E" w:rsidRDefault="0095003C">
      <w:pPr>
        <w:rPr>
          <w:b/>
          <w:sz w:val="28"/>
          <w:szCs w:val="28"/>
        </w:rPr>
      </w:pPr>
      <w:r>
        <w:rPr>
          <w:b/>
          <w:sz w:val="28"/>
          <w:szCs w:val="28"/>
        </w:rPr>
        <w:t>Министр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А.Б. Баетов</w:t>
      </w:r>
    </w:p>
    <w:sectPr w:rsidR="006C311E">
      <w:footerReference w:type="default" r:id="rId7"/>
      <w:pgSz w:w="11906" w:h="16838"/>
      <w:pgMar w:top="1134" w:right="1700" w:bottom="1135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0F640" w14:textId="77777777" w:rsidR="00000000" w:rsidRDefault="0095003C">
      <w:r>
        <w:separator/>
      </w:r>
    </w:p>
  </w:endnote>
  <w:endnote w:type="continuationSeparator" w:id="0">
    <w:p w14:paraId="5182EF82" w14:textId="77777777" w:rsidR="00000000" w:rsidRDefault="00950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A2B56" w14:textId="77777777" w:rsidR="006C311E" w:rsidRDefault="0095003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BE93F" w14:textId="77777777" w:rsidR="00000000" w:rsidRDefault="0095003C">
      <w:r>
        <w:separator/>
      </w:r>
    </w:p>
  </w:footnote>
  <w:footnote w:type="continuationSeparator" w:id="0">
    <w:p w14:paraId="236F5DF7" w14:textId="77777777" w:rsidR="00000000" w:rsidRDefault="009500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11E"/>
    <w:rsid w:val="006C311E"/>
    <w:rsid w:val="00950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0FC6F"/>
  <w15:docId w15:val="{D51359F9-4BF7-4092-957D-4CA9FA068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ru-RU" w:eastAsia="ru-KG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1393"/>
    <w:rPr>
      <w:lang w:eastAsia="ru-RU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4">
    <w:name w:val="Стандарт"/>
    <w:basedOn w:val="a"/>
    <w:qFormat/>
    <w:rsid w:val="00761489"/>
    <w:rPr>
      <w:sz w:val="26"/>
    </w:rPr>
  </w:style>
  <w:style w:type="paragraph" w:customStyle="1" w:styleId="tkZagolovok5">
    <w:name w:val="_Заголовок Статья (tkZagolovok5)"/>
    <w:basedOn w:val="a"/>
    <w:rsid w:val="00981393"/>
    <w:pPr>
      <w:spacing w:before="200" w:after="60" w:line="276" w:lineRule="auto"/>
      <w:ind w:firstLine="567"/>
      <w:jc w:val="left"/>
    </w:pPr>
    <w:rPr>
      <w:rFonts w:ascii="Arial" w:hAnsi="Arial" w:cs="Arial"/>
      <w:b/>
      <w:b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EB29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9F9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B29F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B29F9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B29F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B29F9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B4FE4"/>
    <w:pPr>
      <w:ind w:left="720"/>
      <w:contextualSpacing/>
    </w:pPr>
  </w:style>
  <w:style w:type="table" w:styleId="ac">
    <w:name w:val="Table Grid"/>
    <w:basedOn w:val="a1"/>
    <w:uiPriority w:val="59"/>
    <w:rsid w:val="009D05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RIuuDHz1c6l8AiYOQukOqJX70g==">AMUW2mWSnpbPBoObM0tUoSePZFvsh5UTRtDnJURbyTVJ1yrHtHr6/D4elXYG3DE45HNXcAhZGwFboNM7kiuSDstpsOX4/o8C3Ao7glxPn7olBw0NGIkqYvo=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687</Words>
  <Characters>3922</Characters>
  <Application>Microsoft Office Word</Application>
  <DocSecurity>0</DocSecurity>
  <Lines>32</Lines>
  <Paragraphs>9</Paragraphs>
  <ScaleCrop>false</ScaleCrop>
  <Company/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2022-06-30T09:31:00Z</dcterms:created>
  <dcterms:modified xsi:type="dcterms:W3CDTF">2022-06-30T09:31:00Z</dcterms:modified>
</cp:coreProperties>
</file>